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9" w:rsidRDefault="006E4491" w:rsidP="00F0443C">
      <w:pPr>
        <w:pStyle w:val="1"/>
        <w:rPr>
          <w:sz w:val="18"/>
          <w:szCs w:val="18"/>
        </w:rPr>
      </w:pPr>
      <w:r>
        <w:fldChar w:fldCharType="begin"/>
      </w:r>
      <w:r w:rsidR="00D64AAC">
        <w:instrText xml:space="preserve"> MACROBUTTON MTEditEquationSection2 </w:instrText>
      </w:r>
      <w:r w:rsidR="00D64AAC" w:rsidRPr="00D64AAC">
        <w:rPr>
          <w:rStyle w:val="MTEquationSection"/>
        </w:rPr>
        <w:instrText>Equation Chapter 1 Section 1</w:instrText>
      </w:r>
      <w:r>
        <w:fldChar w:fldCharType="begin"/>
      </w:r>
      <w:r w:rsidR="00D64AAC">
        <w:instrText xml:space="preserve"> SEQ MTEqn \r \h \* MERGEFORMAT </w:instrText>
      </w:r>
      <w:r>
        <w:fldChar w:fldCharType="end"/>
      </w:r>
      <w:r>
        <w:fldChar w:fldCharType="begin"/>
      </w:r>
      <w:r w:rsidR="00D64AAC">
        <w:instrText xml:space="preserve"> SEQ MTSec \r 1 \h \* MERGEFORMAT </w:instrText>
      </w:r>
      <w:r>
        <w:fldChar w:fldCharType="end"/>
      </w:r>
      <w:r>
        <w:fldChar w:fldCharType="begin"/>
      </w:r>
      <w:r w:rsidR="00D64AAC">
        <w:instrText xml:space="preserve"> SEQ MTChap \r 1 \h \* MERGEFORMAT </w:instrText>
      </w:r>
      <w:r>
        <w:fldChar w:fldCharType="end"/>
      </w:r>
      <w:r>
        <w:fldChar w:fldCharType="end"/>
      </w:r>
      <w:r w:rsidR="008D21F0" w:rsidRPr="002915A4">
        <w:t>Лабораторная работа №</w:t>
      </w:r>
      <w:r w:rsidR="00A67583" w:rsidRPr="002915A4">
        <w:t>3.</w:t>
      </w:r>
      <w:r w:rsidR="002915A4" w:rsidRPr="002915A4">
        <w:t xml:space="preserve"> Расчет параметров горения газового фонтана.</w:t>
      </w:r>
    </w:p>
    <w:p w:rsidR="002915A4" w:rsidRDefault="002915A4" w:rsidP="002915A4">
      <w:r w:rsidRPr="00152B22">
        <w:rPr>
          <w:u w:val="single"/>
        </w:rPr>
        <w:t>Цель работы</w:t>
      </w:r>
      <w:r>
        <w:t xml:space="preserve">: </w:t>
      </w:r>
      <w:proofErr w:type="gramStart"/>
      <w:r>
        <w:t>Научиться расчётным путём определять</w:t>
      </w:r>
      <w:proofErr w:type="gramEnd"/>
      <w:r>
        <w:t xml:space="preserve"> основные параметры гор</w:t>
      </w:r>
      <w:r>
        <w:t>е</w:t>
      </w:r>
      <w:r>
        <w:t>ния газовых фонтанов.</w:t>
      </w:r>
    </w:p>
    <w:p w:rsidR="002915A4" w:rsidRPr="0091280C" w:rsidRDefault="0091280C" w:rsidP="002915A4">
      <w:pPr>
        <w:rPr>
          <w:i/>
          <w:u w:val="single"/>
        </w:rPr>
      </w:pPr>
      <w:r w:rsidRPr="0091280C">
        <w:rPr>
          <w:u w:val="single"/>
        </w:rPr>
        <w:t>Теоретическая часть:</w:t>
      </w:r>
    </w:p>
    <w:p w:rsidR="002915A4" w:rsidRDefault="00C22B8C" w:rsidP="00C22B8C">
      <w:pPr>
        <w:pStyle w:val="a3"/>
        <w:numPr>
          <w:ilvl w:val="0"/>
          <w:numId w:val="3"/>
        </w:numPr>
      </w:pPr>
      <w:r>
        <w:t>Запишите закон, связывающий площадь фронта пламени и его нормальную скорость.</w:t>
      </w:r>
    </w:p>
    <w:p w:rsidR="00C22B8C" w:rsidRDefault="00C22B8C" w:rsidP="00C22B8C">
      <w:pPr>
        <w:pStyle w:val="a3"/>
        <w:numPr>
          <w:ilvl w:val="0"/>
          <w:numId w:val="3"/>
        </w:numPr>
      </w:pPr>
      <w:r>
        <w:t>Опишите структуру турбулентного факела.</w:t>
      </w:r>
    </w:p>
    <w:p w:rsidR="00C22B8C" w:rsidRDefault="00BB08E1" w:rsidP="00C22B8C">
      <w:pPr>
        <w:pStyle w:val="a3"/>
        <w:numPr>
          <w:ilvl w:val="0"/>
          <w:numId w:val="3"/>
        </w:numPr>
      </w:pPr>
      <w:r>
        <w:t>Сформулируйте у</w:t>
      </w:r>
      <w:r w:rsidR="00424755">
        <w:t>словия стабилизации и срыва пламени.</w:t>
      </w:r>
    </w:p>
    <w:p w:rsidR="004C2A69" w:rsidRDefault="00430DD2" w:rsidP="004C2A69">
      <w:pPr>
        <w:ind w:left="709" w:firstLine="0"/>
        <w:rPr>
          <w:u w:val="single"/>
        </w:rPr>
      </w:pPr>
      <w:r w:rsidRPr="00430DD2">
        <w:rPr>
          <w:u w:val="single"/>
        </w:rPr>
        <w:t>Ход работы:</w:t>
      </w:r>
    </w:p>
    <w:p w:rsidR="00430DD2" w:rsidRDefault="001E6FB0" w:rsidP="004C2A69">
      <w:pPr>
        <w:ind w:left="709" w:firstLine="0"/>
      </w:pPr>
      <w:r>
        <w:t>Рассчитать дебит газового фонтана (в млн.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.) рассчитывается по формуле</w:t>
      </w:r>
    </w:p>
    <w:p w:rsidR="001E6FB0" w:rsidRDefault="001E6FB0" w:rsidP="001E6FB0">
      <w:pPr>
        <w:pStyle w:val="MTDisplayEquation"/>
      </w:pPr>
      <w:r>
        <w:tab/>
      </w:r>
      <w:r w:rsidRPr="001E6FB0">
        <w:rPr>
          <w:position w:val="-14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20.1pt" o:ole="">
            <v:imagedata r:id="rId7" o:title=""/>
          </v:shape>
          <o:OLEObject Type="Embed" ProgID="Equation.DSMT4" ShapeID="_x0000_i1025" DrawAspect="Content" ObjectID="_1397657085" r:id="rId8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bookmarkStart w:id="0" w:name="ZEqnNum823621"/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1</w:instrText>
        </w:r>
      </w:fldSimple>
      <w:r>
        <w:instrText>)</w:instrText>
      </w:r>
      <w:bookmarkEnd w:id="0"/>
      <w:r w:rsidR="006E4491">
        <w:fldChar w:fldCharType="end"/>
      </w:r>
    </w:p>
    <w:p w:rsidR="001E6FB0" w:rsidRDefault="001E6FB0" w:rsidP="001E6FB0">
      <w:pPr>
        <w:ind w:firstLine="0"/>
      </w:pPr>
      <w:r>
        <w:t xml:space="preserve">где </w:t>
      </w:r>
      <w:r w:rsidRPr="001E6FB0">
        <w:rPr>
          <w:position w:val="-14"/>
        </w:rPr>
        <w:object w:dxaOrig="380" w:dyaOrig="380">
          <v:shape id="_x0000_i1026" type="#_x0000_t75" style="width:19.15pt;height:19.15pt" o:ole="">
            <v:imagedata r:id="rId9" o:title=""/>
          </v:shape>
          <o:OLEObject Type="Embed" ProgID="Equation.DSMT4" ShapeID="_x0000_i1026" DrawAspect="Content" ObjectID="_1397657086" r:id="rId10"/>
        </w:object>
      </w:r>
      <w:r>
        <w:t>- высота факела.</w:t>
      </w:r>
    </w:p>
    <w:p w:rsidR="00316FD5" w:rsidRDefault="00316FD5" w:rsidP="00316FD5">
      <w:pPr>
        <w:pStyle w:val="af2"/>
      </w:pPr>
      <w:r w:rsidRPr="00316FD5">
        <w:t>Режим истечения газовой струи</w:t>
      </w:r>
      <w:r>
        <w:t xml:space="preserve"> (до- или сверхзвуковой)</w:t>
      </w:r>
      <w:r w:rsidRPr="00316FD5">
        <w:t xml:space="preserve"> определяется путём сра</w:t>
      </w:r>
      <w:r w:rsidRPr="00316FD5">
        <w:t>в</w:t>
      </w:r>
      <w:r w:rsidRPr="00316FD5">
        <w:t>нения скорости истечения газовой</w:t>
      </w:r>
      <w:r>
        <w:t xml:space="preserve"> струи со скоростью звука</w:t>
      </w:r>
    </w:p>
    <w:p w:rsidR="00316FD5" w:rsidRDefault="00316FD5" w:rsidP="00316FD5">
      <w:pPr>
        <w:pStyle w:val="MTDisplayEquation"/>
      </w:pPr>
      <w:r>
        <w:tab/>
      </w:r>
      <w:r w:rsidRPr="00316FD5">
        <w:rPr>
          <w:position w:val="-24"/>
        </w:rPr>
        <w:object w:dxaOrig="920" w:dyaOrig="620">
          <v:shape id="_x0000_i1027" type="#_x0000_t75" style="width:45.8pt;height:30.85pt" o:ole="">
            <v:imagedata r:id="rId11" o:title=""/>
          </v:shape>
          <o:OLEObject Type="Embed" ProgID="Equation.DSMT4" ShapeID="_x0000_i1027" DrawAspect="Content" ObjectID="_1397657087" r:id="rId12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2</w:instrText>
        </w:r>
      </w:fldSimple>
      <w:r>
        <w:instrText>)</w:instrText>
      </w:r>
      <w:r w:rsidR="006E4491">
        <w:fldChar w:fldCharType="end"/>
      </w:r>
    </w:p>
    <w:p w:rsidR="00316FD5" w:rsidRDefault="00316FD5" w:rsidP="00316FD5">
      <w:pPr>
        <w:pStyle w:val="af2"/>
        <w:ind w:firstLine="0"/>
      </w:pPr>
      <w:r>
        <w:t xml:space="preserve">где </w:t>
      </w:r>
      <w:r w:rsidRPr="00316FD5">
        <w:rPr>
          <w:position w:val="-12"/>
        </w:rPr>
        <w:object w:dxaOrig="320" w:dyaOrig="360">
          <v:shape id="_x0000_i1028" type="#_x0000_t75" style="width:15.9pt;height:18.25pt" o:ole="">
            <v:imagedata r:id="rId13" o:title=""/>
          </v:shape>
          <o:OLEObject Type="Embed" ProgID="Equation.DSMT4" ShapeID="_x0000_i1028" DrawAspect="Content" ObjectID="_1397657088" r:id="rId14"/>
        </w:object>
      </w:r>
      <w:r>
        <w:t>- секундный расход газа (м</w:t>
      </w:r>
      <w:r>
        <w:rPr>
          <w:vertAlign w:val="superscript"/>
        </w:rPr>
        <w:t>3</w:t>
      </w:r>
      <w:r>
        <w:t xml:space="preserve">/сек), </w:t>
      </w:r>
      <w:r w:rsidRPr="00316FD5">
        <w:rPr>
          <w:position w:val="-6"/>
        </w:rPr>
        <w:object w:dxaOrig="220" w:dyaOrig="279">
          <v:shape id="_x0000_i1029" type="#_x0000_t75" style="width:11.2pt;height:14.05pt" o:ole="">
            <v:imagedata r:id="rId15" o:title=""/>
          </v:shape>
          <o:OLEObject Type="Embed" ProgID="Equation.DSMT4" ShapeID="_x0000_i1029" DrawAspect="Content" ObjectID="_1397657089" r:id="rId16"/>
        </w:object>
      </w:r>
      <w:r>
        <w:t xml:space="preserve">- диаметр устья скважины, </w:t>
      </w:r>
      <w:proofErr w:type="gramStart"/>
      <w:r>
        <w:t>м</w:t>
      </w:r>
      <w:proofErr w:type="gramEnd"/>
      <w:r>
        <w:t>. Скорость звука в метане составляет 430 м/сек.</w:t>
      </w:r>
    </w:p>
    <w:p w:rsidR="00407E52" w:rsidRDefault="00407E52" w:rsidP="00316FD5">
      <w:pPr>
        <w:pStyle w:val="af2"/>
      </w:pPr>
      <w:r>
        <w:t>Составить уравнения реакций горения на воздухе и рассчитать низшую т</w:t>
      </w:r>
      <w:r w:rsidR="00117CB7">
        <w:t>еплоту сгорания каждого компонента</w:t>
      </w:r>
      <w:r>
        <w:t xml:space="preserve"> горючей смеси опираясь на следствие из закона Гесса.</w:t>
      </w:r>
    </w:p>
    <w:p w:rsidR="00407E52" w:rsidRDefault="00407E52" w:rsidP="00407E52">
      <w:pPr>
        <w:pStyle w:val="MTDisplayEquation"/>
      </w:pPr>
      <w:r>
        <w:tab/>
      </w:r>
      <w:r w:rsidR="00356C9E" w:rsidRPr="00407E52">
        <w:rPr>
          <w:position w:val="-28"/>
        </w:rPr>
        <w:object w:dxaOrig="3600" w:dyaOrig="680">
          <v:shape id="_x0000_i1030" type="#_x0000_t75" style="width:180pt;height:34.15pt" o:ole="">
            <v:imagedata r:id="rId17" o:title=""/>
          </v:shape>
          <o:OLEObject Type="Embed" ProgID="Equation.DSMT4" ShapeID="_x0000_i1030" DrawAspect="Content" ObjectID="_1397657090" r:id="rId18"/>
        </w:object>
      </w:r>
      <w:r>
        <w:t>.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3</w:instrText>
        </w:r>
      </w:fldSimple>
      <w:r>
        <w:instrText>)</w:instrText>
      </w:r>
      <w:r w:rsidR="006E4491">
        <w:fldChar w:fldCharType="end"/>
      </w:r>
    </w:p>
    <w:p w:rsidR="00277C17" w:rsidRDefault="00407E52" w:rsidP="00316FD5">
      <w:pPr>
        <w:pStyle w:val="af2"/>
      </w:pPr>
      <w:r>
        <w:t xml:space="preserve">Стандартные теплоты образования горючих </w:t>
      </w:r>
      <w:r w:rsidRPr="00407E52">
        <w:rPr>
          <w:rFonts w:ascii="Times New Roman" w:hAnsi="Times New Roman" w:cs="Times New Roman"/>
          <w:i/>
        </w:rPr>
        <w:t>(Г)</w:t>
      </w:r>
      <w:r>
        <w:t xml:space="preserve"> и продуктов горения </w:t>
      </w:r>
      <w:r w:rsidRPr="00407E52">
        <w:rPr>
          <w:rFonts w:ascii="Times New Roman" w:hAnsi="Times New Roman" w:cs="Times New Roman"/>
          <w:i/>
        </w:rPr>
        <w:t>(ПГ)</w:t>
      </w:r>
      <w:r>
        <w:t xml:space="preserve"> привед</w:t>
      </w:r>
      <w:r>
        <w:t>е</w:t>
      </w:r>
      <w:r>
        <w:t>ны в приложении 1.</w:t>
      </w:r>
      <w:r w:rsidR="00277C17">
        <w:t xml:space="preserve"> Теплоты сгорания перевести в удельные (на 1 м</w:t>
      </w:r>
      <w:r w:rsidR="00277C17">
        <w:rPr>
          <w:vertAlign w:val="superscript"/>
        </w:rPr>
        <w:t>3</w:t>
      </w:r>
      <w:r w:rsidR="00277C17">
        <w:t>) величины.</w:t>
      </w:r>
    </w:p>
    <w:p w:rsidR="00277C17" w:rsidRDefault="00277C17" w:rsidP="00277C17">
      <w:pPr>
        <w:pStyle w:val="MTDisplayEquation"/>
      </w:pPr>
      <w:r>
        <w:tab/>
      </w:r>
      <w:r w:rsidRPr="00277C17">
        <w:rPr>
          <w:position w:val="-28"/>
        </w:rPr>
        <w:object w:dxaOrig="1760" w:dyaOrig="700">
          <v:shape id="_x0000_i1031" type="#_x0000_t75" style="width:87.9pt;height:35.05pt" o:ole="">
            <v:imagedata r:id="rId19" o:title=""/>
          </v:shape>
          <o:OLEObject Type="Embed" ProgID="Equation.DSMT4" ShapeID="_x0000_i1031" DrawAspect="Content" ObjectID="_1397657091" r:id="rId20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4</w:instrText>
        </w:r>
      </w:fldSimple>
      <w:r>
        <w:instrText>)</w:instrText>
      </w:r>
      <w:r w:rsidR="006E4491">
        <w:fldChar w:fldCharType="end"/>
      </w:r>
    </w:p>
    <w:p w:rsidR="00316FD5" w:rsidRDefault="00277C17" w:rsidP="00277C17">
      <w:pPr>
        <w:pStyle w:val="af2"/>
        <w:ind w:firstLine="0"/>
      </w:pPr>
      <w:r>
        <w:t>где 24,45 – молярный объём газа (л/моль) при 25</w:t>
      </w:r>
      <w:r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 (298 К).</w:t>
      </w:r>
    </w:p>
    <w:p w:rsidR="001E7C3C" w:rsidRDefault="001E7C3C" w:rsidP="001E7C3C">
      <w:pPr>
        <w:pStyle w:val="af2"/>
      </w:pPr>
      <w:r>
        <w:t xml:space="preserve">Теплоту сгорания газовой </w:t>
      </w:r>
      <w:r w:rsidR="008234B9">
        <w:t>смеси рассчитываем по уравнению</w:t>
      </w:r>
    </w:p>
    <w:p w:rsidR="008234B9" w:rsidRDefault="008234B9" w:rsidP="008234B9">
      <w:pPr>
        <w:pStyle w:val="MTDisplayEquation"/>
      </w:pPr>
      <w:r>
        <w:tab/>
      </w:r>
      <w:r w:rsidRPr="008234B9">
        <w:rPr>
          <w:position w:val="-28"/>
        </w:rPr>
        <w:object w:dxaOrig="1700" w:dyaOrig="660">
          <v:shape id="_x0000_i1032" type="#_x0000_t75" style="width:85.1pt;height:33.2pt" o:ole="">
            <v:imagedata r:id="rId21" o:title=""/>
          </v:shape>
          <o:OLEObject Type="Embed" ProgID="Equation.DSMT4" ShapeID="_x0000_i1032" DrawAspect="Content" ObjectID="_1397657092" r:id="rId22"/>
        </w:object>
      </w:r>
      <w:r w:rsidRPr="008234B9"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5</w:instrText>
        </w:r>
      </w:fldSimple>
      <w:r>
        <w:instrText>)</w:instrText>
      </w:r>
      <w:r w:rsidR="006E4491">
        <w:fldChar w:fldCharType="end"/>
      </w:r>
    </w:p>
    <w:p w:rsidR="008234B9" w:rsidRDefault="008234B9" w:rsidP="008234B9">
      <w:pPr>
        <w:pStyle w:val="af2"/>
        <w:ind w:firstLine="0"/>
      </w:pPr>
      <w:r>
        <w:t xml:space="preserve">где </w:t>
      </w:r>
      <w:r w:rsidRPr="008234B9">
        <w:rPr>
          <w:position w:val="-12"/>
        </w:rPr>
        <w:object w:dxaOrig="260" w:dyaOrig="360">
          <v:shape id="_x0000_i1033" type="#_x0000_t75" style="width:13.1pt;height:18.25pt" o:ole="">
            <v:imagedata r:id="rId23" o:title=""/>
          </v:shape>
          <o:OLEObject Type="Embed" ProgID="Equation.DSMT4" ShapeID="_x0000_i1033" DrawAspect="Content" ObjectID="_1397657093" r:id="rId24"/>
        </w:object>
      </w:r>
      <w:r>
        <w:t xml:space="preserve">- объёмная доля (в %) </w:t>
      </w:r>
      <w:proofErr w:type="spellStart"/>
      <w:r w:rsidRPr="008234B9">
        <w:rPr>
          <w:i/>
          <w:lang w:val="en-US"/>
        </w:rPr>
        <w:t>i</w:t>
      </w:r>
      <w:proofErr w:type="spellEnd"/>
      <w:r>
        <w:rPr>
          <w:i/>
        </w:rPr>
        <w:t xml:space="preserve"> – </w:t>
      </w:r>
      <w:r>
        <w:t>горючего газа в смеси.</w:t>
      </w:r>
    </w:p>
    <w:p w:rsidR="00117CB7" w:rsidRDefault="009170E2" w:rsidP="00117CB7">
      <w:pPr>
        <w:pStyle w:val="af2"/>
      </w:pPr>
      <w:r>
        <w:t>Состав продуктов горения смеси горючих находится по формуле</w:t>
      </w:r>
    </w:p>
    <w:p w:rsidR="009170E2" w:rsidRDefault="009170E2" w:rsidP="009170E2">
      <w:pPr>
        <w:pStyle w:val="MTDisplayEquation"/>
      </w:pPr>
      <w:r>
        <w:lastRenderedPageBreak/>
        <w:tab/>
      </w:r>
      <w:r w:rsidRPr="009170E2">
        <w:rPr>
          <w:position w:val="-30"/>
        </w:rPr>
        <w:object w:dxaOrig="1420" w:dyaOrig="720">
          <v:shape id="_x0000_i1034" type="#_x0000_t75" style="width:71.05pt;height:36pt" o:ole="">
            <v:imagedata r:id="rId25" o:title=""/>
          </v:shape>
          <o:OLEObject Type="Embed" ProgID="Equation.DSMT4" ShapeID="_x0000_i1034" DrawAspect="Content" ObjectID="_1397657094" r:id="rId26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6</w:instrText>
        </w:r>
      </w:fldSimple>
      <w:r>
        <w:instrText>)</w:instrText>
      </w:r>
      <w:r w:rsidR="006E4491">
        <w:fldChar w:fldCharType="end"/>
      </w:r>
    </w:p>
    <w:p w:rsidR="009170E2" w:rsidRDefault="009170E2" w:rsidP="009170E2">
      <w:pPr>
        <w:pStyle w:val="af2"/>
        <w:ind w:firstLine="0"/>
      </w:pPr>
      <w:r>
        <w:t xml:space="preserve">где </w:t>
      </w:r>
      <w:r w:rsidRPr="009170E2">
        <w:rPr>
          <w:position w:val="-12"/>
        </w:rPr>
        <w:object w:dxaOrig="240" w:dyaOrig="360">
          <v:shape id="_x0000_i1035" type="#_x0000_t75" style="width:12.15pt;height:18.25pt" o:ole="">
            <v:imagedata r:id="rId27" o:title=""/>
          </v:shape>
          <o:OLEObject Type="Embed" ProgID="Equation.DSMT4" ShapeID="_x0000_i1035" DrawAspect="Content" ObjectID="_1397657095" r:id="rId28"/>
        </w:object>
      </w:r>
      <w:r>
        <w:t xml:space="preserve">- объём </w:t>
      </w:r>
      <w:proofErr w:type="spellStart"/>
      <w:r>
        <w:rPr>
          <w:i/>
          <w:lang w:val="en-US"/>
        </w:rPr>
        <w:t>i</w:t>
      </w:r>
      <w:proofErr w:type="spellEnd"/>
      <w:r w:rsidRPr="009170E2">
        <w:rPr>
          <w:i/>
        </w:rPr>
        <w:t>-</w:t>
      </w:r>
      <w:r>
        <w:t>того</w:t>
      </w:r>
      <w:r w:rsidRPr="009170E2">
        <w:rPr>
          <w:i/>
        </w:rPr>
        <w:t xml:space="preserve"> </w:t>
      </w:r>
      <w:r>
        <w:t xml:space="preserve">продукта горения, </w:t>
      </w:r>
      <w:r w:rsidRPr="009170E2">
        <w:rPr>
          <w:position w:val="-12"/>
        </w:rPr>
        <w:object w:dxaOrig="279" w:dyaOrig="380">
          <v:shape id="_x0000_i1036" type="#_x0000_t75" style="width:14.05pt;height:19.15pt" o:ole="">
            <v:imagedata r:id="rId29" o:title=""/>
          </v:shape>
          <o:OLEObject Type="Embed" ProgID="Equation.DSMT4" ShapeID="_x0000_i1036" DrawAspect="Content" ObjectID="_1397657096" r:id="rId30"/>
        </w:object>
      </w:r>
      <w:r>
        <w:t xml:space="preserve">- стехиометрический коэффициент при </w:t>
      </w:r>
      <w:proofErr w:type="spellStart"/>
      <w:r w:rsidRPr="009170E2">
        <w:rPr>
          <w:i/>
          <w:lang w:val="en-US"/>
        </w:rPr>
        <w:t>i</w:t>
      </w:r>
      <w:proofErr w:type="spellEnd"/>
      <w:r w:rsidRPr="009170E2">
        <w:t xml:space="preserve"> </w:t>
      </w:r>
      <w:r>
        <w:t>–</w:t>
      </w:r>
      <w:r w:rsidRPr="009170E2">
        <w:t xml:space="preserve"> </w:t>
      </w:r>
      <w:r>
        <w:t xml:space="preserve">том продукте горения, получающемся при горении </w:t>
      </w:r>
      <w:r w:rsidRPr="009170E2">
        <w:rPr>
          <w:i/>
          <w:lang w:val="en-US"/>
        </w:rPr>
        <w:t>j</w:t>
      </w:r>
      <w:r>
        <w:t xml:space="preserve"> – того газа, </w:t>
      </w:r>
      <w:r w:rsidRPr="009170E2">
        <w:rPr>
          <w:position w:val="-14"/>
        </w:rPr>
        <w:object w:dxaOrig="279" w:dyaOrig="380">
          <v:shape id="_x0000_i1037" type="#_x0000_t75" style="width:14.05pt;height:19.15pt" o:ole="">
            <v:imagedata r:id="rId31" o:title=""/>
          </v:shape>
          <o:OLEObject Type="Embed" ProgID="Equation.DSMT4" ShapeID="_x0000_i1037" DrawAspect="Content" ObjectID="_1397657097" r:id="rId32"/>
        </w:object>
      </w:r>
      <w:r>
        <w:t xml:space="preserve"> - объёмная доля (в %) </w:t>
      </w:r>
      <w:r w:rsidRPr="009170E2">
        <w:rPr>
          <w:i/>
          <w:lang w:val="en-US"/>
        </w:rPr>
        <w:t>j</w:t>
      </w:r>
      <w:r>
        <w:t xml:space="preserve"> – того газа в смеси.</w:t>
      </w:r>
    </w:p>
    <w:p w:rsidR="00811CC6" w:rsidRDefault="00811CC6" w:rsidP="00811CC6">
      <w:pPr>
        <w:pStyle w:val="af2"/>
      </w:pPr>
      <w:r>
        <w:t>Тепловые потери на излучение рассчитываются по формуле</w:t>
      </w:r>
    </w:p>
    <w:p w:rsidR="00811CC6" w:rsidRDefault="00811CC6" w:rsidP="00811CC6">
      <w:pPr>
        <w:pStyle w:val="MTDisplayEquation"/>
      </w:pPr>
      <w:r>
        <w:tab/>
      </w:r>
      <w:r w:rsidRPr="00811CC6">
        <w:rPr>
          <w:position w:val="-12"/>
        </w:rPr>
        <w:object w:dxaOrig="1520" w:dyaOrig="400">
          <v:shape id="_x0000_i1038" type="#_x0000_t75" style="width:76.2pt;height:20.1pt" o:ole="">
            <v:imagedata r:id="rId33" o:title=""/>
          </v:shape>
          <o:OLEObject Type="Embed" ProgID="Equation.DSMT4" ShapeID="_x0000_i1038" DrawAspect="Content" ObjectID="_1397657098" r:id="rId34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7</w:instrText>
        </w:r>
      </w:fldSimple>
      <w:r>
        <w:instrText>)</w:instrText>
      </w:r>
      <w:r w:rsidR="006E4491">
        <w:fldChar w:fldCharType="end"/>
      </w:r>
    </w:p>
    <w:p w:rsidR="00811CC6" w:rsidRDefault="00811CC6" w:rsidP="00811CC6">
      <w:pPr>
        <w:ind w:firstLine="0"/>
      </w:pPr>
      <w:r>
        <w:t xml:space="preserve">где </w:t>
      </w:r>
      <w:r w:rsidRPr="00811CC6">
        <w:rPr>
          <w:position w:val="-4"/>
        </w:rPr>
        <w:object w:dxaOrig="320" w:dyaOrig="260">
          <v:shape id="_x0000_i1039" type="#_x0000_t75" style="width:15.9pt;height:13.1pt" o:ole="">
            <v:imagedata r:id="rId35" o:title=""/>
          </v:shape>
          <o:OLEObject Type="Embed" ProgID="Equation.DSMT4" ShapeID="_x0000_i1039" DrawAspect="Content" ObjectID="_1397657099" r:id="rId36"/>
        </w:object>
      </w:r>
      <w:r>
        <w:t>- средняя молярная масса газа</w:t>
      </w:r>
    </w:p>
    <w:p w:rsidR="00811CC6" w:rsidRDefault="00811CC6" w:rsidP="00811CC6">
      <w:pPr>
        <w:pStyle w:val="MTDisplayEquation"/>
      </w:pPr>
      <w:r>
        <w:tab/>
      </w:r>
      <w:r w:rsidR="006659DD" w:rsidRPr="00811CC6">
        <w:rPr>
          <w:position w:val="-28"/>
        </w:rPr>
        <w:object w:dxaOrig="1540" w:dyaOrig="660">
          <v:shape id="_x0000_i1040" type="#_x0000_t75" style="width:77.15pt;height:33.2pt" o:ole="">
            <v:imagedata r:id="rId37" o:title=""/>
          </v:shape>
          <o:OLEObject Type="Embed" ProgID="Equation.DSMT4" ShapeID="_x0000_i1040" DrawAspect="Content" ObjectID="_1397657100" r:id="rId38"/>
        </w:object>
      </w:r>
      <w:r>
        <w:t>,</w:t>
      </w:r>
      <w:r>
        <w:tab/>
      </w:r>
    </w:p>
    <w:p w:rsidR="00811CC6" w:rsidRPr="006659DD" w:rsidRDefault="00811CC6" w:rsidP="00811CC6">
      <w:pPr>
        <w:pStyle w:val="MTDisplayEquation"/>
        <w:ind w:firstLine="0"/>
      </w:pPr>
      <w:r>
        <w:t xml:space="preserve">где </w:t>
      </w:r>
      <w:r w:rsidRPr="00811CC6">
        <w:rPr>
          <w:position w:val="-12"/>
        </w:rPr>
        <w:object w:dxaOrig="340" w:dyaOrig="360">
          <v:shape id="_x0000_i1041" type="#_x0000_t75" style="width:16.85pt;height:18.25pt" o:ole="">
            <v:imagedata r:id="rId39" o:title=""/>
          </v:shape>
          <o:OLEObject Type="Embed" ProgID="Equation.DSMT4" ShapeID="_x0000_i1041" DrawAspect="Content" ObjectID="_1397657101" r:id="rId40"/>
        </w:object>
      </w:r>
      <w:r>
        <w:t>-</w:t>
      </w:r>
      <w:r>
        <w:t xml:space="preserve">молярная масса </w:t>
      </w:r>
      <w:proofErr w:type="spellStart"/>
      <w:r w:rsidRPr="00811CC6">
        <w:rPr>
          <w:i/>
          <w:lang w:val="en-US"/>
        </w:rPr>
        <w:t>i</w:t>
      </w:r>
      <w:proofErr w:type="spellEnd"/>
      <w:r>
        <w:t xml:space="preserve"> – того газа, </w:t>
      </w:r>
      <w:r w:rsidR="006659DD" w:rsidRPr="006659DD">
        <w:rPr>
          <w:position w:val="-12"/>
        </w:rPr>
        <w:object w:dxaOrig="260" w:dyaOrig="360">
          <v:shape id="_x0000_i1042" type="#_x0000_t75" style="width:13.1pt;height:18.25pt" o:ole="">
            <v:imagedata r:id="rId41" o:title=""/>
          </v:shape>
          <o:OLEObject Type="Embed" ProgID="Equation.DSMT4" ShapeID="_x0000_i1042" DrawAspect="Content" ObjectID="_1397657102" r:id="rId42"/>
        </w:object>
      </w:r>
      <w:r w:rsidR="006659DD">
        <w:t xml:space="preserve"> - объёмная доля </w:t>
      </w:r>
      <w:r w:rsidR="006659DD">
        <w:rPr>
          <w:i/>
          <w:lang w:val="en-US"/>
        </w:rPr>
        <w:t>I</w:t>
      </w:r>
      <w:r w:rsidR="006659DD" w:rsidRPr="006659DD">
        <w:t xml:space="preserve"> – </w:t>
      </w:r>
      <w:r w:rsidR="006659DD">
        <w:t>того газа (в %). Суммирование ведётся по всем компонентам смеси, горючим и негорючим.</w:t>
      </w:r>
    </w:p>
    <w:p w:rsidR="00A26910" w:rsidRDefault="00A26910" w:rsidP="00A26910">
      <w:pPr>
        <w:pStyle w:val="af2"/>
      </w:pPr>
      <w:r w:rsidRPr="00A26910">
        <w:t xml:space="preserve">Температура газового факела рассчитывается по методу средних </w:t>
      </w:r>
      <w:r w:rsidR="00811CC6" w:rsidRPr="00A26910">
        <w:t>теплоемкостей</w:t>
      </w:r>
      <w:r w:rsidR="00470659">
        <w:t xml:space="preserve"> (при расчёте следует перевести единицы измерения из кДж в </w:t>
      </w:r>
      <w:proofErr w:type="gramStart"/>
      <w:r w:rsidR="00470659">
        <w:t>Дж</w:t>
      </w:r>
      <w:proofErr w:type="gramEnd"/>
      <w:r w:rsidR="00470659">
        <w:t>).</w:t>
      </w:r>
    </w:p>
    <w:p w:rsidR="00A26910" w:rsidRDefault="00A26910" w:rsidP="00A26910">
      <w:pPr>
        <w:pStyle w:val="MTDisplayEquation"/>
      </w:pPr>
      <w:r>
        <w:tab/>
      </w:r>
      <w:r w:rsidR="00470659" w:rsidRPr="00A26910">
        <w:rPr>
          <w:position w:val="-46"/>
        </w:rPr>
        <w:object w:dxaOrig="2640" w:dyaOrig="900">
          <v:shape id="_x0000_i1052" type="#_x0000_t75" style="width:131.85pt;height:44.9pt" o:ole="">
            <v:imagedata r:id="rId43" o:title=""/>
          </v:shape>
          <o:OLEObject Type="Embed" ProgID="Equation.DSMT4" ShapeID="_x0000_i1052" DrawAspect="Content" ObjectID="_1397657103" r:id="rId44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8</w:instrText>
        </w:r>
      </w:fldSimple>
      <w:r>
        <w:instrText>)</w:instrText>
      </w:r>
      <w:r w:rsidR="006E4491">
        <w:fldChar w:fldCharType="end"/>
      </w:r>
    </w:p>
    <w:p w:rsidR="00A26910" w:rsidRDefault="00A26910" w:rsidP="00A26910">
      <w:pPr>
        <w:ind w:firstLine="0"/>
      </w:pPr>
      <w:r>
        <w:t xml:space="preserve">где </w:t>
      </w:r>
      <w:r w:rsidRPr="00A26910">
        <w:rPr>
          <w:position w:val="-12"/>
        </w:rPr>
        <w:object w:dxaOrig="279" w:dyaOrig="360">
          <v:shape id="_x0000_i1043" type="#_x0000_t75" style="width:14.05pt;height:18.25pt" o:ole="">
            <v:imagedata r:id="rId45" o:title=""/>
          </v:shape>
          <o:OLEObject Type="Embed" ProgID="Equation.DSMT4" ShapeID="_x0000_i1043" DrawAspect="Content" ObjectID="_1397657104" r:id="rId46"/>
        </w:object>
      </w:r>
      <w:r>
        <w:t xml:space="preserve">- потери на излучение, </w:t>
      </w:r>
      <w:r w:rsidRPr="00A26910">
        <w:rPr>
          <w:position w:val="-12"/>
        </w:rPr>
        <w:object w:dxaOrig="279" w:dyaOrig="360">
          <v:shape id="_x0000_i1044" type="#_x0000_t75" style="width:14.05pt;height:18.25pt" o:ole="">
            <v:imagedata r:id="rId47" o:title=""/>
          </v:shape>
          <o:OLEObject Type="Embed" ProgID="Equation.DSMT4" ShapeID="_x0000_i1044" DrawAspect="Content" ObjectID="_1397657105" r:id="rId48"/>
        </w:object>
      </w:r>
      <w:r>
        <w:t>- потери за счёт химического недожога.</w:t>
      </w:r>
    </w:p>
    <w:p w:rsidR="0063023F" w:rsidRDefault="0063023F" w:rsidP="0063023F">
      <w:pPr>
        <w:pStyle w:val="af2"/>
      </w:pPr>
      <w:r>
        <w:t>Изменение мощности излучения газового фонтана в зависимости от расстояния может быть найдено из соотношения</w:t>
      </w:r>
    </w:p>
    <w:p w:rsidR="0063023F" w:rsidRDefault="0063023F" w:rsidP="0063023F">
      <w:pPr>
        <w:pStyle w:val="MTDisplayEquation"/>
      </w:pPr>
      <w:r>
        <w:tab/>
      </w:r>
      <w:r w:rsidRPr="0063023F">
        <w:rPr>
          <w:position w:val="-24"/>
        </w:rPr>
        <w:object w:dxaOrig="1280" w:dyaOrig="660">
          <v:shape id="_x0000_i1045" type="#_x0000_t75" style="width:64.05pt;height:33.2pt" o:ole="">
            <v:imagedata r:id="rId49" o:title=""/>
          </v:shape>
          <o:OLEObject Type="Embed" ProgID="Equation.DSMT4" ShapeID="_x0000_i1045" DrawAspect="Content" ObjectID="_1397657106" r:id="rId50"/>
        </w:object>
      </w:r>
      <w:r>
        <w:t>,</w: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9</w:instrText>
        </w:r>
      </w:fldSimple>
      <w:r>
        <w:instrText>)</w:instrText>
      </w:r>
      <w:r w:rsidR="006E4491">
        <w:fldChar w:fldCharType="end"/>
      </w:r>
    </w:p>
    <w:p w:rsidR="00BF3AA8" w:rsidRDefault="0063023F" w:rsidP="0063023F">
      <w:pPr>
        <w:pStyle w:val="af2"/>
        <w:ind w:firstLine="0"/>
      </w:pPr>
      <w:r>
        <w:t xml:space="preserve">где </w:t>
      </w:r>
      <w:r w:rsidRPr="0063023F">
        <w:rPr>
          <w:position w:val="-4"/>
        </w:rPr>
        <w:object w:dxaOrig="240" w:dyaOrig="260">
          <v:shape id="_x0000_i1046" type="#_x0000_t75" style="width:12.15pt;height:13.1pt" o:ole="">
            <v:imagedata r:id="rId51" o:title=""/>
          </v:shape>
          <o:OLEObject Type="Embed" ProgID="Equation.DSMT4" ShapeID="_x0000_i1046" DrawAspect="Content" ObjectID="_1397657107" r:id="rId52"/>
        </w:object>
      </w:r>
      <w:r>
        <w:t xml:space="preserve">- расстояние от середины факела до точки на поверхности земли. Учитывая, что </w:t>
      </w:r>
      <w:r w:rsidR="00BF3AA8" w:rsidRPr="00BF3AA8">
        <w:rPr>
          <w:position w:val="-32"/>
        </w:rPr>
        <w:object w:dxaOrig="1680" w:dyaOrig="800">
          <v:shape id="_x0000_i1047" type="#_x0000_t75" style="width:84.15pt;height:40.2pt" o:ole="">
            <v:imagedata r:id="rId53" o:title=""/>
          </v:shape>
          <o:OLEObject Type="Embed" ProgID="Equation.DSMT4" ShapeID="_x0000_i1047" DrawAspect="Content" ObjectID="_1397657108" r:id="rId54"/>
        </w:object>
      </w:r>
      <w:r w:rsidR="00BF3AA8">
        <w:t xml:space="preserve">,  </w:t>
      </w:r>
      <w:r w:rsidR="00BF3AA8" w:rsidRPr="00BF3AA8">
        <w:rPr>
          <w:position w:val="-4"/>
        </w:rPr>
        <w:object w:dxaOrig="220" w:dyaOrig="260">
          <v:shape id="_x0000_i1048" type="#_x0000_t75" style="width:11.2pt;height:13.1pt" o:ole="">
            <v:imagedata r:id="rId55" o:title=""/>
          </v:shape>
          <o:OLEObject Type="Embed" ProgID="Equation.DSMT4" ShapeID="_x0000_i1048" DrawAspect="Content" ObjectID="_1397657109" r:id="rId56"/>
        </w:object>
      </w:r>
      <w:r w:rsidR="00BF3AA8">
        <w:t>- расстояние от точки на поверхности до устья газового фонтана пол</w:t>
      </w:r>
      <w:r w:rsidR="00BF3AA8">
        <w:t>у</w:t>
      </w:r>
      <w:r w:rsidR="00BF3AA8">
        <w:t>чаем</w:t>
      </w:r>
    </w:p>
    <w:p w:rsidR="00BF3AA8" w:rsidRDefault="00BF3AA8" w:rsidP="00BF3AA8">
      <w:pPr>
        <w:pStyle w:val="MTDisplayEquation"/>
      </w:pPr>
      <w:r>
        <w:tab/>
      </w:r>
      <w:r w:rsidRPr="00BF3AA8">
        <w:rPr>
          <w:position w:val="-80"/>
        </w:rPr>
        <w:object w:dxaOrig="2140" w:dyaOrig="1219">
          <v:shape id="_x0000_i1049" type="#_x0000_t75" style="width:107.05pt;height:60.8pt" o:ole="">
            <v:imagedata r:id="rId57" o:title=""/>
          </v:shape>
          <o:OLEObject Type="Embed" ProgID="Equation.DSMT4" ShapeID="_x0000_i1049" DrawAspect="Content" ObjectID="_1397657110" r:id="rId58"/>
        </w:object>
      </w:r>
      <w:r>
        <w:tab/>
      </w:r>
      <w:r w:rsidR="006E4491">
        <w:fldChar w:fldCharType="begin"/>
      </w:r>
      <w:r>
        <w:instrText xml:space="preserve"> MACROBUTTON MTPlaceRef \* MERGEFORMAT </w:instrText>
      </w:r>
      <w:r w:rsidR="006E4491">
        <w:fldChar w:fldCharType="begin"/>
      </w:r>
      <w:r>
        <w:instrText xml:space="preserve"> SEQ MTEqn \h \* MERGEFORMAT </w:instrText>
      </w:r>
      <w:r w:rsidR="006E4491">
        <w:fldChar w:fldCharType="end"/>
      </w:r>
      <w:bookmarkStart w:id="1" w:name="ZEqnNum417226"/>
      <w:r>
        <w:instrText>(</w:instrText>
      </w:r>
      <w:fldSimple w:instr=" SEQ MTSec \c \* Arabic \* MERGEFORMAT ">
        <w:r w:rsidR="00C77186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77186">
          <w:rPr>
            <w:noProof/>
          </w:rPr>
          <w:instrText>10</w:instrText>
        </w:r>
      </w:fldSimple>
      <w:r>
        <w:instrText>)</w:instrText>
      </w:r>
      <w:bookmarkEnd w:id="1"/>
      <w:r w:rsidR="006E4491">
        <w:fldChar w:fldCharType="end"/>
      </w:r>
    </w:p>
    <w:p w:rsidR="0063023F" w:rsidRDefault="00686810" w:rsidP="00686810">
      <w:pPr>
        <w:pStyle w:val="af2"/>
        <w:rPr>
          <w:u w:val="single"/>
        </w:rPr>
      </w:pPr>
      <w:r w:rsidRPr="00686810">
        <w:rPr>
          <w:u w:val="single"/>
        </w:rPr>
        <w:t>Выполнение работы</w:t>
      </w:r>
    </w:p>
    <w:p w:rsidR="00686810" w:rsidRDefault="00686810" w:rsidP="00686810">
      <w:pPr>
        <w:pStyle w:val="af2"/>
      </w:pPr>
      <w:proofErr w:type="gramStart"/>
      <w:r>
        <w:t xml:space="preserve">В ходе выполнения работы требуется написать на языке </w:t>
      </w:r>
      <w:r>
        <w:rPr>
          <w:lang w:val="en-US"/>
        </w:rPr>
        <w:t>Java</w:t>
      </w:r>
      <w:r w:rsidRPr="00212FE6">
        <w:t xml:space="preserve"> </w:t>
      </w:r>
      <w:r>
        <w:t>программу, вычи</w:t>
      </w:r>
      <w:r>
        <w:t>с</w:t>
      </w:r>
      <w:r>
        <w:t>ляю</w:t>
      </w:r>
      <w:r w:rsidR="00C77186">
        <w:t>щую для заданных условий</w:t>
      </w:r>
      <w:r w:rsidRPr="00CE6E04">
        <w:t xml:space="preserve"> </w:t>
      </w:r>
      <w:r>
        <w:t xml:space="preserve">интенсивность теплового излучения </w:t>
      </w:r>
      <w:r w:rsidR="00C77186">
        <w:t>в зависимости от ра</w:t>
      </w:r>
      <w:r w:rsidR="00C77186">
        <w:t>с</w:t>
      </w:r>
      <w:r w:rsidR="00C77186">
        <w:t xml:space="preserve">стояния до устья факела </w:t>
      </w:r>
      <w:r>
        <w:t xml:space="preserve">по формулам </w:t>
      </w:r>
      <w:r w:rsidR="006E4491">
        <w:fldChar w:fldCharType="begin"/>
      </w:r>
      <w:r w:rsidR="00C77186">
        <w:instrText xml:space="preserve"> GOTOBUTTON ZEqnNum823621  \* MERGEFORMAT </w:instrText>
      </w:r>
      <w:fldSimple w:instr=" REF ZEqnNum823621 \* Charformat \! \* MERGEFORMAT ">
        <w:r w:rsidR="00C77186">
          <w:instrText>(1.1)</w:instrText>
        </w:r>
      </w:fldSimple>
      <w:r w:rsidR="006E4491">
        <w:fldChar w:fldCharType="end"/>
      </w:r>
      <w:r>
        <w:t xml:space="preserve"> - </w:t>
      </w:r>
      <w:r w:rsidR="006E4491">
        <w:fldChar w:fldCharType="begin"/>
      </w:r>
      <w:r w:rsidR="00C77186">
        <w:instrText xml:space="preserve"> GOTOBUTTON ZEqnNum417226  \* MERGEFORMAT </w:instrText>
      </w:r>
      <w:fldSimple w:instr=" REF ZEqnNum417226 \* Charformat \! \* MERGEFORMAT ">
        <w:r w:rsidR="00C77186">
          <w:instrText>(1.10)</w:instrText>
        </w:r>
      </w:fldSimple>
      <w:r w:rsidR="006E4491">
        <w:fldChar w:fldCharType="end"/>
      </w:r>
      <w:r w:rsidR="00C77186">
        <w:t xml:space="preserve"> и  в диапазоне </w:t>
      </w:r>
      <w:r w:rsidR="001743A8">
        <w:t xml:space="preserve">расстояний </w:t>
      </w:r>
      <w:r w:rsidR="00C77186">
        <w:t xml:space="preserve">от 0 до 200 </w:t>
      </w:r>
      <w:r w:rsidR="00C77186">
        <w:lastRenderedPageBreak/>
        <w:t>м. с шагом 10 м.</w:t>
      </w:r>
      <w:r w:rsidR="001743A8">
        <w:rPr>
          <w:u w:val="single"/>
        </w:rPr>
        <w:t xml:space="preserve"> </w:t>
      </w:r>
      <w:r w:rsidR="001743A8" w:rsidRPr="001743A8">
        <w:t>пост</w:t>
      </w:r>
      <w:r w:rsidR="001743A8">
        <w:t>р</w:t>
      </w:r>
      <w:r w:rsidR="001743A8" w:rsidRPr="001743A8">
        <w:t>оить график зависимости «интенсивность излучения – расстояние до устья»</w:t>
      </w:r>
      <w:r w:rsidR="001743A8">
        <w:t>.</w:t>
      </w:r>
      <w:proofErr w:type="gramEnd"/>
      <w:r w:rsidR="001743A8">
        <w:t xml:space="preserve"> Также в результатах работы следует привести значения следующих параметров фонтана:</w:t>
      </w:r>
    </w:p>
    <w:p w:rsidR="001743A8" w:rsidRDefault="001743A8" w:rsidP="001743A8">
      <w:pPr>
        <w:pStyle w:val="af2"/>
        <w:numPr>
          <w:ilvl w:val="0"/>
          <w:numId w:val="4"/>
        </w:numPr>
      </w:pPr>
      <w:r>
        <w:t>Дебит газового фонтана.</w:t>
      </w:r>
    </w:p>
    <w:p w:rsidR="001743A8" w:rsidRDefault="001743A8" w:rsidP="001743A8">
      <w:pPr>
        <w:pStyle w:val="af2"/>
        <w:numPr>
          <w:ilvl w:val="0"/>
          <w:numId w:val="4"/>
        </w:numPr>
      </w:pPr>
      <w:r>
        <w:t>Низшую теплоту сгорания.</w:t>
      </w:r>
    </w:p>
    <w:p w:rsidR="001743A8" w:rsidRDefault="001743A8" w:rsidP="001743A8">
      <w:pPr>
        <w:pStyle w:val="af2"/>
        <w:numPr>
          <w:ilvl w:val="0"/>
          <w:numId w:val="4"/>
        </w:numPr>
      </w:pPr>
      <w:r>
        <w:t>Температуру горения.</w:t>
      </w:r>
    </w:p>
    <w:p w:rsidR="001743A8" w:rsidRDefault="001743A8" w:rsidP="001743A8">
      <w:pPr>
        <w:pStyle w:val="af2"/>
        <w:numPr>
          <w:ilvl w:val="0"/>
          <w:numId w:val="4"/>
        </w:numPr>
      </w:pPr>
      <w:r>
        <w:t>Скорость и режим истечения газа.</w:t>
      </w:r>
    </w:p>
    <w:p w:rsidR="001743A8" w:rsidRDefault="001743A8">
      <w:pPr>
        <w:spacing w:after="200" w:line="276" w:lineRule="auto"/>
        <w:ind w:firstLine="0"/>
        <w:jc w:val="left"/>
      </w:pPr>
      <w:r>
        <w:br w:type="page"/>
      </w:r>
    </w:p>
    <w:p w:rsidR="001743A8" w:rsidRDefault="001743A8" w:rsidP="001743A8">
      <w:pPr>
        <w:pStyle w:val="1"/>
      </w:pPr>
      <w:r>
        <w:lastRenderedPageBreak/>
        <w:t>Приложение 1. Справочные материалы</w:t>
      </w:r>
      <w:r w:rsidR="00470659">
        <w:t>.</w:t>
      </w:r>
    </w:p>
    <w:p w:rsidR="00371593" w:rsidRPr="00371593" w:rsidRDefault="00371593" w:rsidP="00371593">
      <w:pPr>
        <w:pStyle w:val="a7"/>
        <w:keepNext/>
        <w:rPr>
          <w:color w:val="auto"/>
        </w:rPr>
      </w:pPr>
      <w:r w:rsidRPr="00371593">
        <w:rPr>
          <w:color w:val="auto"/>
        </w:rPr>
        <w:t xml:space="preserve">Таблица </w:t>
      </w:r>
      <w:r w:rsidRPr="00371593">
        <w:rPr>
          <w:color w:val="auto"/>
        </w:rPr>
        <w:fldChar w:fldCharType="begin"/>
      </w:r>
      <w:r w:rsidRPr="00371593">
        <w:rPr>
          <w:color w:val="auto"/>
        </w:rPr>
        <w:instrText xml:space="preserve"> SEQ Таблица \* ARABIC </w:instrText>
      </w:r>
      <w:r w:rsidRPr="00371593">
        <w:rPr>
          <w:color w:val="auto"/>
        </w:rPr>
        <w:fldChar w:fldCharType="separate"/>
      </w:r>
      <w:r w:rsidR="006E1CE9">
        <w:rPr>
          <w:noProof/>
          <w:color w:val="auto"/>
        </w:rPr>
        <w:t>1</w:t>
      </w:r>
      <w:r w:rsidRPr="00371593">
        <w:rPr>
          <w:color w:val="auto"/>
        </w:rPr>
        <w:fldChar w:fldCharType="end"/>
      </w:r>
      <w:r w:rsidRPr="00371593">
        <w:rPr>
          <w:noProof/>
          <w:color w:val="auto"/>
        </w:rPr>
        <w:t>. Термодинамические свойства участников реакций.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Вещество</w:t>
            </w:r>
          </w:p>
        </w:tc>
        <w:tc>
          <w:tcPr>
            <w:tcW w:w="2393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Формула</w:t>
            </w:r>
          </w:p>
        </w:tc>
        <w:tc>
          <w:tcPr>
            <w:tcW w:w="2393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 xml:space="preserve">Стандартная мольная теплота образования </w:t>
            </w:r>
            <w:r w:rsidRPr="00337DC8">
              <w:rPr>
                <w:position w:val="-14"/>
                <w:sz w:val="24"/>
              </w:rPr>
              <w:object w:dxaOrig="639" w:dyaOrig="400">
                <v:shape id="_x0000_i1050" type="#_x0000_t75" style="width:31.8pt;height:20.1pt" o:ole="">
                  <v:imagedata r:id="rId59" o:title=""/>
                </v:shape>
                <o:OLEObject Type="Embed" ProgID="Equation.DSMT4" ShapeID="_x0000_i1050" DrawAspect="Content" ObjectID="_1397657111" r:id="rId60"/>
              </w:object>
            </w:r>
            <w:r>
              <w:t>, кДж/моль</w:t>
            </w:r>
          </w:p>
        </w:tc>
        <w:tc>
          <w:tcPr>
            <w:tcW w:w="2393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Средняя мольная те</w:t>
            </w:r>
            <w:r>
              <w:t>п</w:t>
            </w:r>
            <w:r>
              <w:t xml:space="preserve">лоёмкость </w:t>
            </w:r>
            <w:r w:rsidRPr="00337DC8">
              <w:rPr>
                <w:position w:val="-14"/>
                <w:sz w:val="24"/>
              </w:rPr>
              <w:object w:dxaOrig="320" w:dyaOrig="380">
                <v:shape id="_x0000_i1051" type="#_x0000_t75" style="width:15.9pt;height:19.15pt" o:ole="">
                  <v:imagedata r:id="rId61" o:title=""/>
                </v:shape>
                <o:OLEObject Type="Embed" ProgID="Equation.DSMT4" ShapeID="_x0000_i1051" DrawAspect="Content" ObjectID="_1397657112" r:id="rId62"/>
              </w:object>
            </w:r>
            <w:r>
              <w:t>, Дж/моль</w:t>
            </w:r>
            <w:proofErr w:type="gramStart"/>
            <w:r>
              <w:rPr>
                <w:rFonts w:cstheme="minorHAnsi"/>
              </w:rPr>
              <w:t>·</w:t>
            </w:r>
            <w:r>
              <w:t>К</w:t>
            </w:r>
            <w:proofErr w:type="gramEnd"/>
          </w:p>
        </w:tc>
      </w:tr>
      <w:tr w:rsidR="00337DC8" w:rsidTr="00735B3E">
        <w:tc>
          <w:tcPr>
            <w:tcW w:w="9571" w:type="dxa"/>
            <w:gridSpan w:val="4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proofErr w:type="gramStart"/>
            <w:r>
              <w:t>Горючие</w:t>
            </w:r>
            <w:proofErr w:type="gramEnd"/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Метан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CH</w:t>
            </w:r>
            <w:r>
              <w:rPr>
                <w:vertAlign w:val="subscript"/>
              </w:rPr>
              <w:t>4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-74,85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Этан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-84,67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Пропан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-103,85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Сероводород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-20,60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Сероуглерод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CS</w:t>
            </w:r>
            <w:r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115,30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37DC8" w:rsidTr="00735B3E">
        <w:tc>
          <w:tcPr>
            <w:tcW w:w="9571" w:type="dxa"/>
            <w:gridSpan w:val="4"/>
          </w:tcPr>
          <w:p w:rsidR="00337DC8" w:rsidRDefault="00337DC8" w:rsidP="00AB6C10">
            <w:pPr>
              <w:spacing w:line="240" w:lineRule="auto"/>
              <w:ind w:firstLine="0"/>
              <w:jc w:val="center"/>
            </w:pPr>
            <w:r>
              <w:t>Продукты горения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Азот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32,76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Диоксид углерода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-393,51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53,14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Кислород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34,73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Водяной пар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-241,81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42,34</w:t>
            </w:r>
          </w:p>
        </w:tc>
      </w:tr>
      <w:tr w:rsidR="00337DC8" w:rsidTr="00337DC8">
        <w:tc>
          <w:tcPr>
            <w:tcW w:w="2392" w:type="dxa"/>
          </w:tcPr>
          <w:p w:rsidR="00337DC8" w:rsidRDefault="00337DC8" w:rsidP="00337DC8">
            <w:pPr>
              <w:spacing w:line="240" w:lineRule="auto"/>
              <w:ind w:firstLine="0"/>
              <w:jc w:val="center"/>
            </w:pPr>
            <w:r>
              <w:t>Диоксид серы</w:t>
            </w:r>
          </w:p>
        </w:tc>
        <w:tc>
          <w:tcPr>
            <w:tcW w:w="2393" w:type="dxa"/>
          </w:tcPr>
          <w:p w:rsidR="00337DC8" w:rsidRPr="00AB6C10" w:rsidRDefault="00AB6C10" w:rsidP="00AB6C10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-296,90</w:t>
            </w:r>
          </w:p>
        </w:tc>
        <w:tc>
          <w:tcPr>
            <w:tcW w:w="2393" w:type="dxa"/>
          </w:tcPr>
          <w:p w:rsidR="00337DC8" w:rsidRDefault="00AB6C10" w:rsidP="00AB6C10">
            <w:pPr>
              <w:spacing w:line="240" w:lineRule="auto"/>
              <w:ind w:firstLine="0"/>
              <w:jc w:val="center"/>
            </w:pPr>
            <w:r>
              <w:t>52,57</w:t>
            </w:r>
          </w:p>
        </w:tc>
      </w:tr>
    </w:tbl>
    <w:p w:rsidR="00371593" w:rsidRDefault="00371593" w:rsidP="00371593">
      <w:pPr>
        <w:pStyle w:val="1"/>
      </w:pPr>
    </w:p>
    <w:p w:rsidR="00337DC8" w:rsidRDefault="00371593" w:rsidP="00371593">
      <w:pPr>
        <w:pStyle w:val="1"/>
      </w:pPr>
      <w:r>
        <w:t>Приложение 2. Варианты заданий.</w:t>
      </w:r>
    </w:p>
    <w:p w:rsidR="001353B1" w:rsidRDefault="001353B1" w:rsidP="001353B1">
      <w:pPr>
        <w:pStyle w:val="a7"/>
        <w:keepNext/>
      </w:pPr>
      <w:r w:rsidRPr="001353B1">
        <w:rPr>
          <w:color w:val="auto"/>
        </w:rPr>
        <w:t xml:space="preserve">Таблица </w:t>
      </w:r>
      <w:r w:rsidRPr="001353B1">
        <w:rPr>
          <w:color w:val="auto"/>
        </w:rPr>
        <w:fldChar w:fldCharType="begin"/>
      </w:r>
      <w:r w:rsidRPr="001353B1">
        <w:rPr>
          <w:color w:val="auto"/>
        </w:rPr>
        <w:instrText xml:space="preserve"> SEQ Таблица \* ARABIC </w:instrText>
      </w:r>
      <w:r w:rsidRPr="001353B1">
        <w:rPr>
          <w:color w:val="auto"/>
        </w:rPr>
        <w:fldChar w:fldCharType="separate"/>
      </w:r>
      <w:r w:rsidR="006E1CE9">
        <w:rPr>
          <w:noProof/>
          <w:color w:val="auto"/>
        </w:rPr>
        <w:t>2</w:t>
      </w:r>
      <w:r w:rsidRPr="001353B1">
        <w:rPr>
          <w:color w:val="auto"/>
        </w:rPr>
        <w:fldChar w:fldCharType="end"/>
      </w:r>
      <w:r w:rsidRPr="001353B1">
        <w:rPr>
          <w:noProof/>
          <w:color w:val="auto"/>
        </w:rPr>
        <w:t xml:space="preserve">. </w:t>
      </w:r>
      <w:r w:rsidR="00735B3E">
        <w:rPr>
          <w:noProof/>
          <w:color w:val="auto"/>
        </w:rPr>
        <w:t xml:space="preserve">Первая цифра ваианта. </w:t>
      </w:r>
      <w:r w:rsidRPr="001353B1">
        <w:rPr>
          <w:noProof/>
          <w:color w:val="auto"/>
        </w:rPr>
        <w:t>Состав газового фонтана</w:t>
      </w:r>
      <w:r>
        <w:rPr>
          <w:noProof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817"/>
        <w:gridCol w:w="2126"/>
        <w:gridCol w:w="567"/>
        <w:gridCol w:w="709"/>
        <w:gridCol w:w="543"/>
        <w:gridCol w:w="687"/>
        <w:gridCol w:w="687"/>
        <w:gridCol w:w="687"/>
        <w:gridCol w:w="687"/>
        <w:gridCol w:w="687"/>
        <w:gridCol w:w="687"/>
        <w:gridCol w:w="687"/>
      </w:tblGrid>
      <w:tr w:rsidR="00470659" w:rsidTr="00470659">
        <w:tc>
          <w:tcPr>
            <w:tcW w:w="817" w:type="dxa"/>
            <w:vMerge w:val="restart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№ вещ</w:t>
            </w:r>
            <w:r>
              <w:t>е</w:t>
            </w:r>
            <w:r>
              <w:t>ства</w:t>
            </w:r>
          </w:p>
        </w:tc>
        <w:tc>
          <w:tcPr>
            <w:tcW w:w="2126" w:type="dxa"/>
            <w:vMerge w:val="restart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Формула</w:t>
            </w:r>
          </w:p>
        </w:tc>
        <w:tc>
          <w:tcPr>
            <w:tcW w:w="6628" w:type="dxa"/>
            <w:gridSpan w:val="10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 xml:space="preserve">Содержание компонентов в горючей смеси </w:t>
            </w:r>
            <w:proofErr w:type="gramStart"/>
            <w:r>
              <w:t>об</w:t>
            </w:r>
            <w:proofErr w:type="gramEnd"/>
            <w:r>
              <w:t>. %.</w:t>
            </w:r>
          </w:p>
        </w:tc>
      </w:tr>
      <w:tr w:rsidR="00470659" w:rsidTr="00470659">
        <w:tc>
          <w:tcPr>
            <w:tcW w:w="817" w:type="dxa"/>
            <w:vMerge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</w:p>
        </w:tc>
        <w:tc>
          <w:tcPr>
            <w:tcW w:w="6628" w:type="dxa"/>
            <w:gridSpan w:val="10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Номер варианта</w:t>
            </w:r>
          </w:p>
        </w:tc>
      </w:tr>
      <w:tr w:rsidR="00470659" w:rsidTr="00470659">
        <w:tc>
          <w:tcPr>
            <w:tcW w:w="817" w:type="dxa"/>
            <w:vMerge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687" w:type="dxa"/>
          </w:tcPr>
          <w:p w:rsidR="00470659" w:rsidRDefault="00470659" w:rsidP="00371593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метан</w:t>
            </w:r>
          </w:p>
        </w:tc>
        <w:tc>
          <w:tcPr>
            <w:tcW w:w="56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85</w:t>
            </w:r>
          </w:p>
        </w:tc>
        <w:tc>
          <w:tcPr>
            <w:tcW w:w="543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84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85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80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80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этан</w:t>
            </w:r>
          </w:p>
        </w:tc>
        <w:tc>
          <w:tcPr>
            <w:tcW w:w="56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43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пропан</w:t>
            </w:r>
          </w:p>
        </w:tc>
        <w:tc>
          <w:tcPr>
            <w:tcW w:w="56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3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сероводород</w:t>
            </w:r>
          </w:p>
        </w:tc>
        <w:tc>
          <w:tcPr>
            <w:tcW w:w="56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3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сероуглерод</w:t>
            </w:r>
          </w:p>
        </w:tc>
        <w:tc>
          <w:tcPr>
            <w:tcW w:w="56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3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азот</w:t>
            </w:r>
          </w:p>
        </w:tc>
        <w:tc>
          <w:tcPr>
            <w:tcW w:w="56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3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диоксид углерода</w:t>
            </w:r>
          </w:p>
        </w:tc>
        <w:tc>
          <w:tcPr>
            <w:tcW w:w="56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470659" w:rsidTr="00470659">
        <w:tc>
          <w:tcPr>
            <w:tcW w:w="817" w:type="dxa"/>
          </w:tcPr>
          <w:p w:rsidR="00371593" w:rsidRDefault="00470659" w:rsidP="00371593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371593" w:rsidRDefault="00876C2F" w:rsidP="00371593">
            <w:pPr>
              <w:spacing w:line="240" w:lineRule="auto"/>
              <w:ind w:firstLine="0"/>
              <w:jc w:val="center"/>
            </w:pPr>
            <w:r>
              <w:t>кислород</w:t>
            </w:r>
          </w:p>
        </w:tc>
        <w:tc>
          <w:tcPr>
            <w:tcW w:w="56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371593" w:rsidRDefault="001353B1" w:rsidP="00371593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</w:tbl>
    <w:p w:rsidR="00371593" w:rsidRDefault="00371593" w:rsidP="00371593"/>
    <w:p w:rsidR="00DC3223" w:rsidRPr="00DC3223" w:rsidRDefault="00DC3223" w:rsidP="00DC3223">
      <w:pPr>
        <w:pStyle w:val="a7"/>
        <w:keepNext/>
        <w:rPr>
          <w:color w:val="auto"/>
        </w:rPr>
      </w:pPr>
      <w:r w:rsidRPr="00DC3223">
        <w:rPr>
          <w:color w:val="auto"/>
        </w:rPr>
        <w:t xml:space="preserve">Таблица </w:t>
      </w:r>
      <w:r w:rsidRPr="00DC3223">
        <w:rPr>
          <w:color w:val="auto"/>
        </w:rPr>
        <w:fldChar w:fldCharType="begin"/>
      </w:r>
      <w:r w:rsidRPr="00DC3223">
        <w:rPr>
          <w:color w:val="auto"/>
        </w:rPr>
        <w:instrText xml:space="preserve"> SEQ Таблица \* ARABIC </w:instrText>
      </w:r>
      <w:r w:rsidRPr="00DC3223">
        <w:rPr>
          <w:color w:val="auto"/>
        </w:rPr>
        <w:fldChar w:fldCharType="separate"/>
      </w:r>
      <w:r w:rsidR="006E1CE9">
        <w:rPr>
          <w:noProof/>
          <w:color w:val="auto"/>
        </w:rPr>
        <w:t>3</w:t>
      </w:r>
      <w:r w:rsidRPr="00DC3223">
        <w:rPr>
          <w:color w:val="auto"/>
        </w:rPr>
        <w:fldChar w:fldCharType="end"/>
      </w:r>
      <w:r w:rsidRPr="00DC3223">
        <w:rPr>
          <w:noProof/>
          <w:color w:val="auto"/>
        </w:rPr>
        <w:t>.</w:t>
      </w:r>
      <w:r w:rsidR="006E1CE9">
        <w:rPr>
          <w:color w:val="auto"/>
        </w:rPr>
        <w:t xml:space="preserve"> Вторая и третья цифры варианта. Диаметр устьевого оборудования и высота факела.</w:t>
      </w:r>
    </w:p>
    <w:tbl>
      <w:tblPr>
        <w:tblStyle w:val="a8"/>
        <w:tblW w:w="0" w:type="auto"/>
        <w:tblLook w:val="04A0"/>
      </w:tblPr>
      <w:tblGrid>
        <w:gridCol w:w="1233"/>
        <w:gridCol w:w="2676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32"/>
      </w:tblGrid>
      <w:tr w:rsidR="00475493" w:rsidTr="00735B3E">
        <w:tc>
          <w:tcPr>
            <w:tcW w:w="1233" w:type="dxa"/>
            <w:vMerge w:val="restart"/>
          </w:tcPr>
          <w:p w:rsidR="00475493" w:rsidRDefault="00735B3E" w:rsidP="00735B3E">
            <w:pPr>
              <w:spacing w:line="240" w:lineRule="auto"/>
              <w:ind w:firstLine="0"/>
              <w:jc w:val="center"/>
            </w:pPr>
            <w:r>
              <w:t>№ вар</w:t>
            </w:r>
            <w:r>
              <w:t>и</w:t>
            </w:r>
            <w:r>
              <w:t>анта</w:t>
            </w:r>
          </w:p>
        </w:tc>
        <w:tc>
          <w:tcPr>
            <w:tcW w:w="2676" w:type="dxa"/>
            <w:vMerge w:val="restart"/>
          </w:tcPr>
          <w:p w:rsidR="00475493" w:rsidRDefault="00735B3E" w:rsidP="00735B3E">
            <w:pPr>
              <w:spacing w:line="240" w:lineRule="auto"/>
              <w:ind w:firstLine="0"/>
              <w:jc w:val="center"/>
            </w:pPr>
            <w:r>
              <w:t>Диаметр устьевого об</w:t>
            </w:r>
            <w:r>
              <w:t>о</w:t>
            </w:r>
            <w:r>
              <w:t xml:space="preserve">рудования,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5662" w:type="dxa"/>
            <w:gridSpan w:val="10"/>
          </w:tcPr>
          <w:p w:rsidR="00475493" w:rsidRDefault="00735B3E" w:rsidP="00735B3E">
            <w:pPr>
              <w:spacing w:line="240" w:lineRule="auto"/>
              <w:ind w:firstLine="0"/>
              <w:jc w:val="center"/>
            </w:pPr>
            <w:r>
              <w:t xml:space="preserve">Высота факела пламени,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735B3E" w:rsidTr="00735B3E">
        <w:tc>
          <w:tcPr>
            <w:tcW w:w="1233" w:type="dxa"/>
            <w:vMerge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</w:p>
        </w:tc>
        <w:tc>
          <w:tcPr>
            <w:tcW w:w="2676" w:type="dxa"/>
            <w:vMerge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</w:p>
        </w:tc>
        <w:tc>
          <w:tcPr>
            <w:tcW w:w="5662" w:type="dxa"/>
            <w:gridSpan w:val="10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№ Варианта</w:t>
            </w:r>
          </w:p>
        </w:tc>
      </w:tr>
      <w:tr w:rsidR="00735B3E" w:rsidTr="00735B3E">
        <w:tc>
          <w:tcPr>
            <w:tcW w:w="1233" w:type="dxa"/>
            <w:vMerge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</w:p>
        </w:tc>
        <w:tc>
          <w:tcPr>
            <w:tcW w:w="2676" w:type="dxa"/>
            <w:vMerge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70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32" w:type="dxa"/>
          </w:tcPr>
          <w:p w:rsidR="00735B3E" w:rsidRDefault="00735B3E" w:rsidP="00735B3E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65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80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120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150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48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175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250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48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275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48</w:t>
            </w:r>
          </w:p>
        </w:tc>
      </w:tr>
      <w:tr w:rsidR="00735B3E" w:rsidTr="00735B3E">
        <w:tc>
          <w:tcPr>
            <w:tcW w:w="1233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676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300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570" w:type="dxa"/>
          </w:tcPr>
          <w:p w:rsidR="004B2A43" w:rsidRDefault="00735B3E" w:rsidP="00735B3E">
            <w:pPr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70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532" w:type="dxa"/>
          </w:tcPr>
          <w:p w:rsidR="004B2A43" w:rsidRDefault="00DC3223" w:rsidP="00735B3E">
            <w:pPr>
              <w:spacing w:line="240" w:lineRule="auto"/>
              <w:ind w:firstLine="0"/>
              <w:jc w:val="center"/>
            </w:pPr>
            <w:r>
              <w:t>35</w:t>
            </w:r>
          </w:p>
        </w:tc>
      </w:tr>
    </w:tbl>
    <w:p w:rsidR="006E1CE9" w:rsidRDefault="006E1CE9" w:rsidP="00735B3E">
      <w:pPr>
        <w:spacing w:line="240" w:lineRule="auto"/>
      </w:pPr>
    </w:p>
    <w:p w:rsidR="006E1CE9" w:rsidRPr="006E1CE9" w:rsidRDefault="006E1CE9" w:rsidP="006E1CE9">
      <w:pPr>
        <w:pStyle w:val="a7"/>
        <w:keepNext/>
        <w:rPr>
          <w:color w:val="auto"/>
        </w:rPr>
      </w:pPr>
      <w:r w:rsidRPr="006E1CE9">
        <w:rPr>
          <w:color w:val="auto"/>
        </w:rPr>
        <w:lastRenderedPageBreak/>
        <w:t xml:space="preserve">Таблица </w:t>
      </w:r>
      <w:r w:rsidRPr="006E1CE9">
        <w:rPr>
          <w:color w:val="auto"/>
        </w:rPr>
        <w:fldChar w:fldCharType="begin"/>
      </w:r>
      <w:r w:rsidRPr="006E1CE9">
        <w:rPr>
          <w:color w:val="auto"/>
        </w:rPr>
        <w:instrText xml:space="preserve"> SEQ Таблица \* ARABIC </w:instrText>
      </w:r>
      <w:r w:rsidRPr="006E1CE9">
        <w:rPr>
          <w:color w:val="auto"/>
        </w:rPr>
        <w:fldChar w:fldCharType="separate"/>
      </w:r>
      <w:r w:rsidRPr="006E1CE9">
        <w:rPr>
          <w:noProof/>
          <w:color w:val="auto"/>
        </w:rPr>
        <w:t>4</w:t>
      </w:r>
      <w:r w:rsidRPr="006E1CE9">
        <w:rPr>
          <w:color w:val="auto"/>
        </w:rPr>
        <w:fldChar w:fldCharType="end"/>
      </w:r>
      <w:r w:rsidRPr="006E1CE9">
        <w:rPr>
          <w:noProof/>
          <w:color w:val="auto"/>
        </w:rPr>
        <w:t>. Четвёртая цифра варианта. Химический недожог.</w:t>
      </w:r>
    </w:p>
    <w:tbl>
      <w:tblPr>
        <w:tblStyle w:val="a8"/>
        <w:tblW w:w="0" w:type="auto"/>
        <w:tblInd w:w="1242" w:type="dxa"/>
        <w:tblLook w:val="04A0"/>
      </w:tblPr>
      <w:tblGrid>
        <w:gridCol w:w="1985"/>
        <w:gridCol w:w="4394"/>
      </w:tblGrid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№ Варианта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Химический недожог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0,05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0,10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0,08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0,12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0,07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0,10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0,15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0,07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0,15</w:t>
            </w:r>
          </w:p>
        </w:tc>
      </w:tr>
      <w:tr w:rsidR="006E1CE9" w:rsidTr="006E1CE9">
        <w:tc>
          <w:tcPr>
            <w:tcW w:w="1985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4394" w:type="dxa"/>
          </w:tcPr>
          <w:p w:rsidR="006E1CE9" w:rsidRDefault="006E1CE9" w:rsidP="006E1CE9">
            <w:pPr>
              <w:spacing w:after="200" w:line="240" w:lineRule="auto"/>
              <w:ind w:firstLine="0"/>
              <w:jc w:val="center"/>
            </w:pPr>
            <w:r>
              <w:t>0,10</w:t>
            </w:r>
          </w:p>
        </w:tc>
      </w:tr>
    </w:tbl>
    <w:p w:rsidR="001353B1" w:rsidRPr="00371593" w:rsidRDefault="001353B1" w:rsidP="006E1CE9">
      <w:pPr>
        <w:spacing w:after="200" w:line="276" w:lineRule="auto"/>
        <w:ind w:firstLine="0"/>
        <w:jc w:val="left"/>
      </w:pPr>
    </w:p>
    <w:sectPr w:rsidR="001353B1" w:rsidRPr="00371593" w:rsidSect="00A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D5" w:rsidRDefault="004F4ED5" w:rsidP="0057185E">
      <w:pPr>
        <w:spacing w:line="240" w:lineRule="auto"/>
      </w:pPr>
      <w:r>
        <w:separator/>
      </w:r>
    </w:p>
  </w:endnote>
  <w:endnote w:type="continuationSeparator" w:id="0">
    <w:p w:rsidR="004F4ED5" w:rsidRDefault="004F4ED5" w:rsidP="0057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D5" w:rsidRDefault="004F4ED5" w:rsidP="0057185E">
      <w:pPr>
        <w:spacing w:line="240" w:lineRule="auto"/>
      </w:pPr>
      <w:r>
        <w:separator/>
      </w:r>
    </w:p>
  </w:footnote>
  <w:footnote w:type="continuationSeparator" w:id="0">
    <w:p w:rsidR="004F4ED5" w:rsidRDefault="004F4ED5" w:rsidP="00571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DB0"/>
    <w:multiLevelType w:val="hybridMultilevel"/>
    <w:tmpl w:val="B0005B6A"/>
    <w:lvl w:ilvl="0" w:tplc="A3EC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D4B59"/>
    <w:multiLevelType w:val="hybridMultilevel"/>
    <w:tmpl w:val="4808CCDE"/>
    <w:lvl w:ilvl="0" w:tplc="18C0D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41D3A"/>
    <w:multiLevelType w:val="hybridMultilevel"/>
    <w:tmpl w:val="6B16A4BC"/>
    <w:lvl w:ilvl="0" w:tplc="D65AC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A02C5"/>
    <w:multiLevelType w:val="hybridMultilevel"/>
    <w:tmpl w:val="BDD8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D21F0"/>
    <w:rsid w:val="00042D84"/>
    <w:rsid w:val="000B38A2"/>
    <w:rsid w:val="000F288A"/>
    <w:rsid w:val="001173BE"/>
    <w:rsid w:val="00117CB7"/>
    <w:rsid w:val="001250BF"/>
    <w:rsid w:val="00127F60"/>
    <w:rsid w:val="001353B1"/>
    <w:rsid w:val="00152B22"/>
    <w:rsid w:val="001743A8"/>
    <w:rsid w:val="001878F1"/>
    <w:rsid w:val="001A07D8"/>
    <w:rsid w:val="001D3BF0"/>
    <w:rsid w:val="001E6FB0"/>
    <w:rsid w:val="001E7C3C"/>
    <w:rsid w:val="00212CF7"/>
    <w:rsid w:val="00212FE6"/>
    <w:rsid w:val="00260676"/>
    <w:rsid w:val="002700DF"/>
    <w:rsid w:val="00277C17"/>
    <w:rsid w:val="0028004C"/>
    <w:rsid w:val="002915A4"/>
    <w:rsid w:val="0031576A"/>
    <w:rsid w:val="00316FD5"/>
    <w:rsid w:val="00323326"/>
    <w:rsid w:val="00337DC8"/>
    <w:rsid w:val="0035050B"/>
    <w:rsid w:val="00356C9E"/>
    <w:rsid w:val="00371593"/>
    <w:rsid w:val="00396EEF"/>
    <w:rsid w:val="00407E52"/>
    <w:rsid w:val="0041736F"/>
    <w:rsid w:val="00424755"/>
    <w:rsid w:val="00430DD2"/>
    <w:rsid w:val="00444082"/>
    <w:rsid w:val="0046444F"/>
    <w:rsid w:val="0046471C"/>
    <w:rsid w:val="004656CA"/>
    <w:rsid w:val="00470659"/>
    <w:rsid w:val="00475493"/>
    <w:rsid w:val="004908A5"/>
    <w:rsid w:val="004B2A43"/>
    <w:rsid w:val="004C2A69"/>
    <w:rsid w:val="004E2143"/>
    <w:rsid w:val="004F4ED5"/>
    <w:rsid w:val="005317C2"/>
    <w:rsid w:val="0054558D"/>
    <w:rsid w:val="0056756B"/>
    <w:rsid w:val="0057185E"/>
    <w:rsid w:val="00586326"/>
    <w:rsid w:val="005A2182"/>
    <w:rsid w:val="005B7290"/>
    <w:rsid w:val="005E2BEE"/>
    <w:rsid w:val="0063023F"/>
    <w:rsid w:val="00641329"/>
    <w:rsid w:val="006659DD"/>
    <w:rsid w:val="0066680B"/>
    <w:rsid w:val="00667119"/>
    <w:rsid w:val="00680FBF"/>
    <w:rsid w:val="00681725"/>
    <w:rsid w:val="00686810"/>
    <w:rsid w:val="00695702"/>
    <w:rsid w:val="006C5364"/>
    <w:rsid w:val="006D7DF1"/>
    <w:rsid w:val="006E1CE9"/>
    <w:rsid w:val="006E38F8"/>
    <w:rsid w:val="006E4491"/>
    <w:rsid w:val="00727119"/>
    <w:rsid w:val="00735B3E"/>
    <w:rsid w:val="007469AE"/>
    <w:rsid w:val="007809E8"/>
    <w:rsid w:val="00781707"/>
    <w:rsid w:val="00791845"/>
    <w:rsid w:val="007E116C"/>
    <w:rsid w:val="00811CC6"/>
    <w:rsid w:val="008234B9"/>
    <w:rsid w:val="00876C2F"/>
    <w:rsid w:val="008A6EE0"/>
    <w:rsid w:val="008D21F0"/>
    <w:rsid w:val="0091280C"/>
    <w:rsid w:val="009170E2"/>
    <w:rsid w:val="00927EBC"/>
    <w:rsid w:val="009422CA"/>
    <w:rsid w:val="00950382"/>
    <w:rsid w:val="009675D9"/>
    <w:rsid w:val="00982302"/>
    <w:rsid w:val="009A6CBA"/>
    <w:rsid w:val="009C5A99"/>
    <w:rsid w:val="00A1104F"/>
    <w:rsid w:val="00A13489"/>
    <w:rsid w:val="00A26910"/>
    <w:rsid w:val="00A37A86"/>
    <w:rsid w:val="00A67583"/>
    <w:rsid w:val="00A76CC6"/>
    <w:rsid w:val="00A973F5"/>
    <w:rsid w:val="00A97874"/>
    <w:rsid w:val="00AB6C10"/>
    <w:rsid w:val="00AD2F39"/>
    <w:rsid w:val="00AE149E"/>
    <w:rsid w:val="00B304F3"/>
    <w:rsid w:val="00B32BB2"/>
    <w:rsid w:val="00B54F35"/>
    <w:rsid w:val="00B66C12"/>
    <w:rsid w:val="00B92B98"/>
    <w:rsid w:val="00BB08E1"/>
    <w:rsid w:val="00BB4C5F"/>
    <w:rsid w:val="00BE39E9"/>
    <w:rsid w:val="00BF31DF"/>
    <w:rsid w:val="00BF3AA8"/>
    <w:rsid w:val="00BF7679"/>
    <w:rsid w:val="00C07597"/>
    <w:rsid w:val="00C07BBC"/>
    <w:rsid w:val="00C22B8C"/>
    <w:rsid w:val="00C323B0"/>
    <w:rsid w:val="00C77186"/>
    <w:rsid w:val="00C966B9"/>
    <w:rsid w:val="00CC7836"/>
    <w:rsid w:val="00CD3E32"/>
    <w:rsid w:val="00CF161A"/>
    <w:rsid w:val="00D15B28"/>
    <w:rsid w:val="00D36FB0"/>
    <w:rsid w:val="00D56FA3"/>
    <w:rsid w:val="00D64AAC"/>
    <w:rsid w:val="00DA6288"/>
    <w:rsid w:val="00DC1CC1"/>
    <w:rsid w:val="00DC3223"/>
    <w:rsid w:val="00DD1C8C"/>
    <w:rsid w:val="00DD211E"/>
    <w:rsid w:val="00DD3D64"/>
    <w:rsid w:val="00DE1ABD"/>
    <w:rsid w:val="00DF19AC"/>
    <w:rsid w:val="00DF4157"/>
    <w:rsid w:val="00E77B2A"/>
    <w:rsid w:val="00EB5C50"/>
    <w:rsid w:val="00F0105D"/>
    <w:rsid w:val="00F0443C"/>
    <w:rsid w:val="00F55999"/>
    <w:rsid w:val="00F8111A"/>
    <w:rsid w:val="00F94D99"/>
    <w:rsid w:val="00FA31D8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D9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21F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1F0"/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0B38A2"/>
    <w:pPr>
      <w:ind w:left="720"/>
      <w:contextualSpacing/>
    </w:pPr>
  </w:style>
  <w:style w:type="paragraph" w:styleId="a4">
    <w:name w:val="Body Text"/>
    <w:basedOn w:val="a"/>
    <w:link w:val="a5"/>
    <w:rsid w:val="0054558D"/>
    <w:pPr>
      <w:pBdr>
        <w:bottom w:val="single" w:sz="6" w:space="1" w:color="auto"/>
      </w:pBdr>
      <w:ind w:firstLine="56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5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MTEquationSection">
    <w:name w:val="MTEquationSection"/>
    <w:basedOn w:val="a0"/>
    <w:rsid w:val="00D64AAC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D64AA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MTDisplayEquation0">
    <w:name w:val="MTDisplayEquation Знак"/>
    <w:basedOn w:val="a0"/>
    <w:link w:val="MTDisplayEquation"/>
    <w:rsid w:val="00D64AAC"/>
    <w:rPr>
      <w:rFonts w:ascii="Calibri" w:eastAsia="Calibri" w:hAnsi="Calibri" w:cs="Times New Roman"/>
      <w:sz w:val="24"/>
    </w:rPr>
  </w:style>
  <w:style w:type="paragraph" w:customStyle="1" w:styleId="a6">
    <w:name w:val="Заголовок списка"/>
    <w:basedOn w:val="6"/>
    <w:next w:val="a"/>
    <w:rsid w:val="00C07597"/>
    <w:pPr>
      <w:keepLines w:val="0"/>
      <w:autoSpaceDE w:val="0"/>
      <w:autoSpaceDN w:val="0"/>
      <w:spacing w:before="480" w:after="1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75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7">
    <w:name w:val="caption"/>
    <w:basedOn w:val="a"/>
    <w:next w:val="a"/>
    <w:uiPriority w:val="35"/>
    <w:unhideWhenUsed/>
    <w:qFormat/>
    <w:rsid w:val="00C075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A1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185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18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7185E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56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56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9C5A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5A9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A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28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316FD5"/>
    <w:pPr>
      <w:spacing w:after="0" w:line="360" w:lineRule="auto"/>
      <w:ind w:firstLine="709"/>
      <w:jc w:val="both"/>
    </w:pPr>
    <w:rPr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E32"/>
    <w:pPr>
      <w:spacing w:before="480" w:line="276" w:lineRule="auto"/>
      <w:ind w:firstLine="0"/>
      <w:jc w:val="left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D3E32"/>
    <w:pPr>
      <w:spacing w:after="100"/>
    </w:pPr>
  </w:style>
  <w:style w:type="character" w:styleId="af4">
    <w:name w:val="Placeholder Text"/>
    <w:basedOn w:val="a0"/>
    <w:uiPriority w:val="99"/>
    <w:semiHidden/>
    <w:rsid w:val="006302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Like</cp:lastModifiedBy>
  <cp:revision>21</cp:revision>
  <cp:lastPrinted>2012-05-02T12:24:00Z</cp:lastPrinted>
  <dcterms:created xsi:type="dcterms:W3CDTF">2012-04-18T10:19:00Z</dcterms:created>
  <dcterms:modified xsi:type="dcterms:W3CDTF">2012-05-04T13:17:00Z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  <property fmtid="{D5CDD505-2E9C-101B-9397-08002B2CF9AE}" pid="5" name="MTEquationSection">
    <vt:lpwstr>1</vt:lpwstr>
  </property>
</Properties>
</file>